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56826" w14:textId="77777777" w:rsidR="007D7FAD" w:rsidRDefault="007D7FAD" w:rsidP="007D7FAD">
      <w:pPr>
        <w:pStyle w:val="NormalWeb"/>
        <w:jc w:val="right"/>
        <w:rPr>
          <w:sz w:val="20"/>
          <w:szCs w:val="20"/>
        </w:rPr>
      </w:pPr>
      <w:r>
        <w:rPr>
          <w:rStyle w:val="Strong"/>
          <w:sz w:val="20"/>
          <w:szCs w:val="20"/>
        </w:rPr>
        <w:t>Հավելված N 24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>ՀՀ կառավարության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>2019 թվականի օգոստոսի 8-ի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>N 1025-Ն որոշման</w:t>
      </w:r>
    </w:p>
    <w:p w14:paraId="14695BD0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28F40485" w14:textId="77777777" w:rsidR="007D7FAD" w:rsidRDefault="007D7FAD" w:rsidP="007D7FAD">
      <w:pPr>
        <w:pStyle w:val="vhc"/>
        <w:rPr>
          <w:sz w:val="20"/>
          <w:szCs w:val="20"/>
        </w:rPr>
      </w:pPr>
      <w:r>
        <w:rPr>
          <w:sz w:val="20"/>
          <w:szCs w:val="20"/>
        </w:rPr>
        <w:t>ՀԱՅԱՍՏԱՆԻ ՀԱՆՐԱՊԵՏՈՒԹՅԱՆ ՔԱՂԱՔԱՇԻՆՈՒԹՅԱՆ, ՏԵԽՆԻԿԱԿԱՆ ԵՎ ՀՐԴԵՀԱՅԻՆ ԱՆՎՏԱՆԳՈՒԹՅԱՆ ՏԵՍՉԱԿԱՆ ՄԱՐՄԻՆ</w:t>
      </w:r>
    </w:p>
    <w:p w14:paraId="345E2082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1A11EBED" w14:textId="77777777" w:rsidR="007D7FAD" w:rsidRDefault="007D7FAD" w:rsidP="007D7FAD">
      <w:pPr>
        <w:pStyle w:val="vhc"/>
        <w:rPr>
          <w:sz w:val="20"/>
          <w:szCs w:val="20"/>
        </w:rPr>
      </w:pPr>
      <w:r>
        <w:rPr>
          <w:sz w:val="20"/>
          <w:szCs w:val="20"/>
        </w:rPr>
        <w:t>ՍՏՈՒԳԱԹԵՐԹ</w:t>
      </w:r>
      <w:r>
        <w:rPr>
          <w:sz w:val="20"/>
          <w:szCs w:val="20"/>
        </w:rPr>
        <w:br/>
        <w:t>800 ԵՎ ԱՎԵԼԻ ՆՍՏԱՏԵՂԵՐՈՎ ՄՇԱԿՈՒԹԱՅԻՆ ՀԻՄՆԱՐԿՆԵՐԻ ՀԱՄԱՐ</w:t>
      </w:r>
    </w:p>
    <w:p w14:paraId="3C94AEA0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20"/>
        <w:gridCol w:w="2470"/>
        <w:gridCol w:w="1969"/>
      </w:tblGrid>
      <w:tr w:rsidR="007D7FAD" w14:paraId="11C66F29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FC0D90" w14:textId="77777777" w:rsidR="007D7FAD" w:rsidRDefault="007D7FAD" w:rsidP="001F4B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A11433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90958F" w14:textId="77777777" w:rsidR="007D7FAD" w:rsidRDefault="007D7FAD" w:rsidP="001F4BB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 _______ 20 թ.</w:t>
            </w:r>
          </w:p>
        </w:tc>
      </w:tr>
      <w:tr w:rsidR="007D7FAD" w14:paraId="1920A3FB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A33411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(տեսչական մարմնի տարածքային բաժնի անվանումը)</w:t>
            </w:r>
          </w:p>
        </w:tc>
        <w:tc>
          <w:tcPr>
            <w:tcW w:w="0" w:type="auto"/>
            <w:vAlign w:val="center"/>
            <w:hideMark/>
          </w:tcPr>
          <w:p w14:paraId="04111E30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(հասցեն)</w:t>
            </w:r>
          </w:p>
        </w:tc>
        <w:tc>
          <w:tcPr>
            <w:tcW w:w="0" w:type="auto"/>
            <w:vAlign w:val="center"/>
            <w:hideMark/>
          </w:tcPr>
          <w:p w14:paraId="1FBFB8C8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</w:t>
            </w:r>
            <w:r>
              <w:rPr>
                <w:rFonts w:eastAsia="Times New Roman"/>
                <w:sz w:val="20"/>
                <w:szCs w:val="20"/>
              </w:rPr>
              <w:br/>
              <w:t>(հեռախոսահամարը)</w:t>
            </w:r>
          </w:p>
        </w:tc>
      </w:tr>
      <w:tr w:rsidR="007D7FAD" w14:paraId="34C18671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3F8710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(ստուգող անձի պաշտոնը)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2D3119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(ազգանունը, անունը, հայրանունը)</w:t>
            </w:r>
          </w:p>
        </w:tc>
      </w:tr>
      <w:tr w:rsidR="007D7FAD" w14:paraId="1E78914A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4F6846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(ստուգող անձի պաշտոնը)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6053B8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(ազգանունը, անունը, հայրանունը)</w:t>
            </w:r>
          </w:p>
        </w:tc>
      </w:tr>
      <w:tr w:rsidR="007D7FAD" w14:paraId="259BCF88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6A7663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(ստուգող անձի պաշտոնը)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4C77C7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(ազգանունը, անունը, հայրանունը)</w:t>
            </w:r>
          </w:p>
        </w:tc>
      </w:tr>
      <w:tr w:rsidR="007D7FAD" w14:paraId="68EA9F64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755DC2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սկիզբ (ամսաթիվ)`_______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9AD502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ավարտ`</w:t>
            </w:r>
            <w:r>
              <w:rPr>
                <w:rFonts w:eastAsia="Times New Roman"/>
                <w:sz w:val="20"/>
                <w:szCs w:val="20"/>
              </w:rPr>
              <w:br/>
              <w:t>__________________</w:t>
            </w:r>
          </w:p>
        </w:tc>
      </w:tr>
      <w:tr w:rsidR="007D7FAD" w14:paraId="51B593F4" w14:textId="77777777" w:rsidTr="001F4B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0BF1AE3A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_____________________________________________________________________</w:t>
            </w:r>
          </w:p>
        </w:tc>
      </w:tr>
      <w:tr w:rsidR="007D7FAD" w14:paraId="32C3DA6B" w14:textId="77777777" w:rsidTr="001F4B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3DF9C9EA" w14:textId="77777777" w:rsidR="007D7FAD" w:rsidRDefault="007D7FAD" w:rsidP="001F4B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Տնտեսավարող սուբյեկտի անվանումը</w:t>
            </w:r>
          </w:p>
        </w:tc>
      </w:tr>
      <w:tr w:rsidR="007D7FAD" w14:paraId="60D3194D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35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97"/>
              <w:gridCol w:w="296"/>
              <w:gridCol w:w="296"/>
              <w:gridCol w:w="296"/>
              <w:gridCol w:w="296"/>
              <w:gridCol w:w="296"/>
              <w:gridCol w:w="296"/>
              <w:gridCol w:w="296"/>
            </w:tblGrid>
            <w:tr w:rsidR="007D7FAD" w14:paraId="2EFE438F" w14:textId="77777777" w:rsidTr="001F4BB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9F0E7E" w14:textId="77777777" w:rsidR="007D7FAD" w:rsidRDefault="007D7FAD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FBC686" w14:textId="77777777" w:rsidR="007D7FAD" w:rsidRDefault="007D7FAD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FBD8DA" w14:textId="77777777" w:rsidR="007D7FAD" w:rsidRDefault="007D7FAD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BAD253" w14:textId="77777777" w:rsidR="007D7FAD" w:rsidRDefault="007D7FAD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239DA7" w14:textId="77777777" w:rsidR="007D7FAD" w:rsidRDefault="007D7FAD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641843" w14:textId="77777777" w:rsidR="007D7FAD" w:rsidRDefault="007D7FAD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03A146" w14:textId="77777777" w:rsidR="007D7FAD" w:rsidRDefault="007D7FAD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4ED997" w14:textId="77777777" w:rsidR="007D7FAD" w:rsidRDefault="007D7FAD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6B728649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ՀՎՀՀ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968759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Պետական ռեգիստրի վկայականի կամ գրանցման համարը</w:t>
            </w:r>
          </w:p>
        </w:tc>
      </w:tr>
      <w:tr w:rsidR="007D7FAD" w14:paraId="430E27CF" w14:textId="77777777" w:rsidTr="001F4B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D7E931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Տնտեսավարող սուբյեկտի գտնվելու վայրը</w:t>
            </w:r>
          </w:p>
        </w:tc>
        <w:tc>
          <w:tcPr>
            <w:tcW w:w="0" w:type="auto"/>
            <w:vAlign w:val="center"/>
            <w:hideMark/>
          </w:tcPr>
          <w:p w14:paraId="1BDE87D8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_______________</w:t>
            </w:r>
            <w:r>
              <w:rPr>
                <w:rFonts w:eastAsia="Times New Roman"/>
                <w:sz w:val="20"/>
                <w:szCs w:val="20"/>
              </w:rPr>
              <w:br/>
              <w:t>      հեռախոս</w:t>
            </w:r>
          </w:p>
        </w:tc>
      </w:tr>
      <w:tr w:rsidR="007D7FAD" w14:paraId="3DC049BA" w14:textId="77777777" w:rsidTr="001F4B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11A0ED6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Տնտեսավարող սուբյեկտի ղեկավարի կամ վստահված անձի ազգանուն, անուն, հայրանուն</w:t>
            </w:r>
          </w:p>
        </w:tc>
        <w:tc>
          <w:tcPr>
            <w:tcW w:w="0" w:type="auto"/>
            <w:vAlign w:val="center"/>
            <w:hideMark/>
          </w:tcPr>
          <w:p w14:paraId="2FB7EB07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</w:t>
            </w:r>
            <w:r>
              <w:rPr>
                <w:rFonts w:eastAsia="Times New Roman"/>
                <w:sz w:val="20"/>
                <w:szCs w:val="20"/>
              </w:rPr>
              <w:br/>
              <w:t>հեռախոս</w:t>
            </w:r>
          </w:p>
        </w:tc>
      </w:tr>
      <w:tr w:rsidR="007D7FAD" w14:paraId="6F165E7A" w14:textId="77777777" w:rsidTr="001F4B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14D94AC7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հանձնարարագիր_____________ում կողմից______________________________________________երբ է տրված____________________________________</w:t>
            </w:r>
          </w:p>
        </w:tc>
      </w:tr>
      <w:tr w:rsidR="007D7FAD" w14:paraId="73E82D41" w14:textId="77777777" w:rsidTr="001F4B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48335246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նպատակը/Ընդգրկված հարցերի համարներ_____________________________________________________________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______________________________________________________________________</w:t>
            </w:r>
          </w:p>
        </w:tc>
      </w:tr>
    </w:tbl>
    <w:p w14:paraId="2D1D110C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4F23CBB4" w14:textId="77777777" w:rsidR="007D7FAD" w:rsidRDefault="007D7FAD" w:rsidP="007D7FAD">
      <w:pPr>
        <w:pStyle w:val="vhc"/>
        <w:rPr>
          <w:sz w:val="20"/>
          <w:szCs w:val="20"/>
        </w:rPr>
      </w:pPr>
      <w:r>
        <w:rPr>
          <w:sz w:val="20"/>
          <w:szCs w:val="20"/>
        </w:rPr>
        <w:t>ՀԱՐՑԱՇԱՐ</w:t>
      </w:r>
      <w:r>
        <w:rPr>
          <w:sz w:val="20"/>
          <w:szCs w:val="20"/>
        </w:rPr>
        <w:br/>
        <w:t>800 ԵՎ ԱՎԵԼԻ ՆՍՏԱՏԵՂԵՐՈՎ ՄՇԱԿՈՒԹԱՅԻՆ ՀԻՄՆԱՐԿՆԵՐԻ ՀԱՄԱՐ</w:t>
      </w:r>
    </w:p>
    <w:p w14:paraId="2B4AAA22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0"/>
        <w:gridCol w:w="2575"/>
        <w:gridCol w:w="458"/>
        <w:gridCol w:w="351"/>
        <w:gridCol w:w="515"/>
        <w:gridCol w:w="1349"/>
        <w:gridCol w:w="1130"/>
        <w:gridCol w:w="1107"/>
        <w:gridCol w:w="845"/>
      </w:tblGrid>
      <w:tr w:rsidR="007D7FAD" w14:paraId="400B460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DA9D9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NN</w:t>
            </w:r>
            <w:r>
              <w:rPr>
                <w:rFonts w:eastAsia="Times New Roman"/>
                <w:sz w:val="20"/>
                <w:szCs w:val="20"/>
              </w:rPr>
              <w:br/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9DF53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Հարցեր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91F6F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Այո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7CC94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Ոչ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008C8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Չ/Պ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DB147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Կշիռ 10 բալանի համակարգով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6DBB8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Հղումներ նորմատիվ իրավական ակտերին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7DD09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տեսակը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78F24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Մեկնա-</w:t>
            </w:r>
            <w:r>
              <w:rPr>
                <w:rFonts w:eastAsia="Times New Roman"/>
                <w:sz w:val="20"/>
                <w:szCs w:val="20"/>
              </w:rPr>
              <w:br/>
              <w:t>բանու-</w:t>
            </w:r>
            <w:r>
              <w:rPr>
                <w:rFonts w:eastAsia="Times New Roman"/>
                <w:sz w:val="20"/>
                <w:szCs w:val="20"/>
              </w:rPr>
              <w:br/>
              <w:t>թյուն</w:t>
            </w:r>
          </w:p>
        </w:tc>
      </w:tr>
      <w:tr w:rsidR="007D7FAD" w14:paraId="71F9C38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B893363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9851816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Շենքերին, շինություններին, տարածքներին ներկայացվող հրդեհային անվտանգության պահանջներ</w:t>
            </w:r>
          </w:p>
        </w:tc>
      </w:tr>
      <w:tr w:rsidR="007D7FAD" w14:paraId="1F6AA31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F1372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9CA90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Նկուղային (ցոկոլային) հարկերում լուսամուտային խորշերը խուլ փակված չեն: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CE177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23BF8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3533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D2334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C45DA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08C5E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5D9A1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7FAD" w14:paraId="733A0AF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0A77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64E57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Սանդղաբազուկների տակ գտնվող տարածքները ազատ են` չեն օգտագործվում առարկաների պահման համար: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8109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20291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962F8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6AC53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D92AB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31, ենթակետ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06B89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A4731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7FAD" w14:paraId="7DB8E08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2F88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5FED5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Արտաքին հրշեջ սանդուղքները գտնվում են սարքին վիճակում: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E0167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8A5F5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3842B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22921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0CA15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5521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BC4C7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7FAD" w14:paraId="2C1731A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9A961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3B31A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Մարդկանց զանգվածային ներկայությամբ շենքերում (շինություններում) միջոցառումների անցկացման ժամանակ հրդեհային անվտանգության ապահովման նպատակով մշակված են համապատասխան միջոցառումներ: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A9D27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B9730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40B37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F23B6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9B1CA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686D1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F0A9F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I*</w:t>
            </w:r>
          </w:p>
        </w:tc>
      </w:tr>
      <w:tr w:rsidR="007D7FAD" w14:paraId="1582C88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0D7CC5A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1C74A86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Մշակութային հիմնարկներ</w:t>
            </w:r>
          </w:p>
        </w:tc>
      </w:tr>
      <w:tr w:rsidR="007D7FAD" w14:paraId="4901469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2BDD3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933FF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Մշակութային հիմնարկներում առկա են ցուցանմուշների և ապրանքանյութական այլ արժեքների տարահանման պլաններ: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CB081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C09C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0B526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224B4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70C8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II, գլուխ 13, կետ 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913C7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1;2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8869E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7FAD" w14:paraId="79D1F42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F18D4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85966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Կրկեսներում և կենդանաբանական այգիներում առկա են կենդանիների տարահանման պլաններ: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A9CD5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F7E1B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5ACD9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4CEE9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27E77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II, գլուխ 13, կետ 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A4916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1;2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2B120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7FAD" w14:paraId="0AEEDA7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1ADEF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A4ADF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Հանդիսադահլիճների (տրիբունաների) կարգերի բոլոր աթոռները (բացառությամբ մինչև 12 նստատեղով և առանձին ելք ունեցող օթյակների) ամրացված են հատակին: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70475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2E63A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7244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860AA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10032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II, գլուխ 13, կետ 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15EF9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54403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7FAD" w14:paraId="463DA43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0DE7B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3CBD5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Բեմական փայտյա կառուցվածքները (այրունակ դեկորացիաները, բեմական, </w:t>
            </w:r>
            <w:r>
              <w:rPr>
                <w:rFonts w:eastAsia="Times New Roman"/>
                <w:sz w:val="20"/>
                <w:szCs w:val="20"/>
              </w:rPr>
              <w:lastRenderedPageBreak/>
              <w:t>ցուցահանդեսային ձևավորումները, հանդիսադահլիճների, ճեմասրահների վարագույրները) մշակված են հրապաշտպան նյութով: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F783B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43EB5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68655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C7040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B2D61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II, գլուխ 13, կետ 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8ABE4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1;2,3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738DF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7FAD" w14:paraId="170D212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0DC31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C2F52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Թատերական հիմնարկների բեմական մասում, միաժամանակ գտնվում են ոչ ավելի քան երկու ներկայացման համար նախատեսված դեկորացիաներ: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04FBB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F84F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D9F66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8DC74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E2429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II, գլուխ 13, կետ 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E0073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42786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7FAD" w14:paraId="63B9250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E07CB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DF826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Ներկայացման ավարտից հետո, բոլոր դեկորացիաները տեղափոխված են հատուկ պահեստ: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597F5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356CA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5537B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07631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30DD7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II, գլուխ 13, կետ 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6DB5A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9FB43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7FAD" w14:paraId="2DC2D1E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DBE9A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603F9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Բեմի վրա հակահրդեհային կենսակարգը պահպանված է: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31BC1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CB312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EBFF6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7151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1BDB8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II, գլուխ 13, կետ 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820E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3D8D9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7FAD" w14:paraId="309C5B2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A5E6F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59CE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Բեմադրության (փորձնական ներկայացման) ավարտից հետո հակահրդեհային վարագույրը իջեցված է: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1BFF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EED82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A483A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1B528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FA26F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II, գլուխ 13, կետ 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77388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8283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7FAD" w14:paraId="245D0E4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149A5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3296B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Բաց հրապարակներում հատուկ էֆեկտների կիրառման անհրաժեշտության դեպքում պատասխանատու բեմադրիչի (գլխավոր ռեժիսորի, գեղարվեստական ղեկավարի) կողմից հրդեհների կանխման նպատակով մշակված է համապատասխան հակահրդեհային միջոցներ: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8A5B2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95D81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4EE6A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B161A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BA2C2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II, գլուխ 13, կետ 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FD8FA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3A2E4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7FAD" w14:paraId="07FE88B5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0F8740F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6892FE0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Տարահանման ճանապարհներ</w:t>
            </w:r>
          </w:p>
        </w:tc>
      </w:tr>
      <w:tr w:rsidR="007D7FAD" w14:paraId="0B6BBDB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F439F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209A0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Տարահանման ճանապարհների պատերը և առաստաղները երեսապատված են չայրվող շինանյութով: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7F0F4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39277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6A032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C6426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AD24E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41, ենթակետ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2E5A2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055E3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7FAD" w14:paraId="73857EC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A87B9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5A76A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Տարահանման ճանապարհները ազատ են`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ապահովված է մարդկանց անարգել տեղաշարժը: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453D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234A1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9DB2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A539E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6C16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I, գլուխ 3, կետ 41,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ենթակետ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70AB9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347C7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7FAD" w14:paraId="6622FEA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D57D5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F616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Հատակային ծածկերը (գորգերը, ուղեգորգերը) ամրացված են հատակին: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913F2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F0F17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2E003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8BA44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EA11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7AA47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C5058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7FAD" w14:paraId="616A1B7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15AAF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0E6FB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Շենքից տարահանման ելքերի քանակը պակաս չէ երկուսից, եթե դրանում տեղավորված են սենքեր, որոնք պետք է ունենան տարահանման ոչ պակաս քան երկու ելք: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A0B3F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E1E1E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64182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C058B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DA64B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194B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3FC7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II*</w:t>
            </w:r>
          </w:p>
        </w:tc>
      </w:tr>
      <w:tr w:rsidR="007D7FAD" w14:paraId="4248E89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D0FE1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70E8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 մարդուց ավելի միաժամանակյա ներկայությամբ սենքերի դռները բացվում են դեպի դուրս, բացի Ա և Բ կարգի սենքերից: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5C23E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96C8A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59D76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67B9B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0A493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63, ենթակետ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68F3E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21052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7FAD" w14:paraId="21CF5E6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0AC2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9E55B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Տարահանման երկու և ավելի ելքերի առկայության դեպքում դրանք տեղակայված են ապակենտրոնացված: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0B7F1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D67E7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7CA1B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148B2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EBB2B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F26AE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BB4AF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7FAD" w14:paraId="0D93970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4DA60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A699E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Նկուղային (ցոկոլային) հարկերից, որի սենքերում օգտագործվում կամ պահվում են այրվող նյութեր, առաջին հարկի սենքեր տանող սանդուղքների առջև կառուցված են հրդեհի դեպքում օդի ճնշումով նախամուտք-անցախցեր: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2BCF3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774FF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00F63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B1E01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B12C8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C7DC3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18C63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7FAD" w14:paraId="0352002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65C1B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87337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Նկուղային և ցոկոլային հարկերում վերելակների առջև կառուցված են հրդեհի դեպքում օդի ճնշմամբ 1-ին տեսակի նախամուտք-անցախցեր: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8E51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A6519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54892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DF6B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F6123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E6990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477BB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7FAD" w14:paraId="5211509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BDD7D82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B24E926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Էլեկտրասարքավորումներին ներկայացվող հրդեհային անվտանգության պահանջներ</w:t>
            </w:r>
          </w:p>
        </w:tc>
      </w:tr>
      <w:tr w:rsidR="007D7FAD" w14:paraId="050BEF98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C8498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7A4B7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Հրդեհավտանգ հիմնատարրերով տանիքների վրայով օդային էլեկտրահաղորդման գծեր անցկացված չեն: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6F718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21BDF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43724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4471A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8A75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4, կետ 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93217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362A3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7FAD" w14:paraId="0C5C56C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34EAB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DD5A7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Գերծանրաբեռնվածության և կարճ միացման հոսանքներից պաշտպանելու համար չեն </w:t>
            </w:r>
            <w:r>
              <w:rPr>
                <w:rFonts w:eastAsia="Times New Roman"/>
                <w:sz w:val="20"/>
                <w:szCs w:val="20"/>
              </w:rPr>
              <w:lastRenderedPageBreak/>
              <w:t>օգտագործվում ոչ ստանդարտ սարքեր: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A5835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6E2B7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44AD1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70094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E00A4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I, գլուխ 4, կետ 48,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ենթակետ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B4303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67CB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7FAD" w14:paraId="04FC514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9A400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56512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Էլեկտրասարքավորումները մոնտաժվել և շահագործվում են էլեկտրական սարքավորումների տեղակայման կանոնների համաձայն: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351E8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A207A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CB114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20E0E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1F500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I, գլուխ 4, կետ 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0A02B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D810A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D7FAD" w14:paraId="1C4CC22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7A367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49B9B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Տարահանման ճանապարհներին մոնտաժված են վթարային լուսավորության լուսատուներ և ելք ցույց տվող ցուցանակներ: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26673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0F4C9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BA6E6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EA444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08EF5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հավելված 1, գլուխ 2, կետ 10, «7», գլուխ 6, կետեր 208, 212, 231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92711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C9DC1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D7FAD" w14:paraId="04CA2C3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0AE6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07326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Լուսատուներից մինչև այրվող նյութից պատրաստված կառուցվածքները և իրերը պահպանված է ոչ պակաս քան 0,5 մ հեռավորություն: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E53B2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D93C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C0BE5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123B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4D171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4, կետ 52, ենթակետ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3B657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6FCBA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7FAD" w14:paraId="41BC5A8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B0FCA45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7CF960E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Ջեռուցման և օդափոխման համակարգերին ներկայացվող հրդեհային անվտանգության պահանջներ</w:t>
            </w:r>
          </w:p>
        </w:tc>
      </w:tr>
      <w:tr w:rsidR="007D7FAD" w14:paraId="654361F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98C6F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D82A6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Օդափոխիչ համակարգի ինքնաշխատ անջատման սարքավորումները գտնվում են սարքին վիճակում: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9EBC1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60F99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13B2B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7D19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14A94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5, կետ 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6E1D0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1BE6F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7FAD" w14:paraId="70920B6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14E8A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EE4D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Ծխնելույզների մաքրումն իրականացվում է սահմանված ժամկետներում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EDF3B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6B852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9EC1E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41BEE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05BEB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գլուխ 5, կետ 59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313C5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A5EC3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D7FAD" w14:paraId="114D8018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D0AFF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BADAF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Ծխահեռացման խողովակները բարձրացված են տանիքից վեր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2CC45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347A9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0FB01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A42AF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D0DF0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«8», գլուխ 5, կետ 263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C8C46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E3C56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D7FAD" w14:paraId="233A495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7CBD1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30C7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Վառարանային ջեռուցման սարքավորումների շահագործման ժամանակ ծխահեռացումը չի իրականացվում օդափոխման և գազային անցուղիներով: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2B8AE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3B78F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5ECA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568EA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69818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5, կետ 62, ենթակետ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5CEA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6835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7FAD" w14:paraId="58EBB70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BB405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5E680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Շենքի միջանցքներում տեղակայված է հակածխային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պաշտպանության համակարգ: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8AFAA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7ED91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1A13A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307D6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06773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«3», գլուխ 8, կետ 8.2, , ենթակետ 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D5DE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91AF3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7FAD" w14:paraId="37AB2A4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8ED04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9A71E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 մակերեսով բնական լուսավորություն չունեցող սենքերում տեղակայված է հակածխային պաշտպանության համակարգ: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CFC9E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4279F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0B9A9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F3308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58672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«3», գլուխ 8, կետ 8.2, ենթակետ 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39F03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82548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7FAD" w14:paraId="6E08400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C81A7A8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509A4E8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Հակահրդեհային ջրամատակարարման ցանցեր</w:t>
            </w:r>
          </w:p>
        </w:tc>
      </w:tr>
      <w:tr w:rsidR="007D7FAD" w14:paraId="2C4CD1A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E48E1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EB9E0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Շինություններին (այդ թվում նաև հակահրդեհային ջրամատակարարման աղբյուրներին) հրշեջ փրկարարական ուժերի և միջոցների մոտեցումը ստուգվողի կողմից փակված չէ: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DB3E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C2DA4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FBC4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7BA01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77EA5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26850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8C650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7FAD" w14:paraId="609F3D2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34DAF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7E287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Արտաքին հրդեհաշիջման համար օբյեկտների տարածքում կամ դրանց մոտակայքում (200 մ շառավղով) նախատեսված է առնվազն 1 հրշեջ հիդրանտ կամ նվազագույնը 54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 xml:space="preserve"> տարողությամբ հակահրդեհային ջրավազան: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A3878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5554B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60845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819BB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FEC87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«6», գլուխ 5, կետեր 29, 45, գլուխ 11, կետ 602 և գլուխ 12, կետ 713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1EFD5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A6A5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7FAD" w14:paraId="26CC0D0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A4F42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F74CA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5000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-ից ավելի ծավալով շենքերը սարքավորված են հրշեջ ծորակներով կահավորված ներքին հակահրդեհային ջրացանցով այնպես, որ յուրաքանչյուր կետ ցողվի 1X2,5 լ/վրկ ջրի շիթով: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02CBF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15A2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D526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016E1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ABC89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«2», կետ 61, աղյուսակ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FA4EA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69A5A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7FAD" w14:paraId="66AE143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D2820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943C1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Շենքում տեղադրված 12 և ավելի հակահրդեհային ծորակների առկայության դեպքում ներքին հակահրդեհային ջրագիծը միացված է արտաքին օղակավորված ջրագծի տարբեր տեղամասերին երկու մուտքագծով: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9298B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B7896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DEA16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A0E6E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873E4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«2», կետ 101, ենթակետ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2DB2E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F362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7FAD" w14:paraId="7630547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B7BB2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52817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Հակահրդեհային ջրամատակարարման ցանցի վրա տեղակայված հրշեջ ծորակները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համալրված են փողակներով և փողրակներով: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FDEB0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EC1BB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AFAD3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54CF6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6712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6, կետ 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0B633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A76E6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7FAD" w14:paraId="5382D898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725E77F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42ED3DF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Հրդեհի ազդանշանման և հրդեհաշիջման համակարգեր</w:t>
            </w:r>
          </w:p>
        </w:tc>
      </w:tr>
      <w:tr w:rsidR="007D7FAD" w14:paraId="68199AA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C1D1A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55F24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 և ավելի նստատեղերով մշակութային հիմնարկները սարքավորված են հրդեհաշիջման ինքնաշխատ համակարգով: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FA2C0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35BD8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73ADF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A48D6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9330E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7, կետ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8567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AA7F1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III*</w:t>
            </w:r>
          </w:p>
        </w:tc>
      </w:tr>
      <w:tr w:rsidR="007D7FAD" w14:paraId="0603023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F9552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046A7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Մշակութային հիմնարկները սարքավորված են հրդեհի ազդանշանման ինքնաշխատ համակարգով: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342A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17756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BD038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FD41A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8C887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7, կետ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1D023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ABA89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III*</w:t>
            </w:r>
          </w:p>
        </w:tc>
      </w:tr>
      <w:tr w:rsidR="007D7FAD" w14:paraId="25D31605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90020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6A70B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Հակահրդեհային ինքնաշխատ համակարգերից հրդեհի տագնապի ազդանշանը փոխանցվում է լիազոր մարմնին: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2F52F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50203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B032E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5F099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C0535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7, կետ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0A41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4A88E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7FAD" w14:paraId="2B56B2F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08DC4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B6AC6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Հակահրդեհային ինքնաշխատ համակարգերը մոնտաժված են նորմերին համապատասխան և գտնվում են սարքին վիճակում: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C0E36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A171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5AA26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D3BE3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F4343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I, գլուխ 7, կետեր 81, 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44C56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167C4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7FAD" w14:paraId="286A602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81C11EF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7E8C8C1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Հրդեհաշիջման սկզբնական միջոցներ</w:t>
            </w:r>
          </w:p>
        </w:tc>
      </w:tr>
      <w:tr w:rsidR="007D7FAD" w14:paraId="470749C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8131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1E992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Օբյեկտն ապահովված է հրդեհաշիջման սկզբնական միջոցներով: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A5C0E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A7301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AD930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AC887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B9E77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VIII, կետ 504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AF047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1;2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0C4B5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IV*</w:t>
            </w:r>
          </w:p>
        </w:tc>
      </w:tr>
      <w:tr w:rsidR="007D7FAD" w14:paraId="6E3784C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5C143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4181B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«Ա», «Բ», «Վ» կարգի շինություններում կրակմարիչները տեղադրված են հրդեհի հնարավոր օջախներից 30 մետրից ոչ ավելի հեռավորության վրա: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DABE2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7E267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57970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08672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28533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VIII, կետ 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CE1C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F3B02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7FAD" w14:paraId="19DF01C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2EDCA51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IX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777615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Տեխնիկական անվտանգության ապահովում</w:t>
            </w:r>
          </w:p>
        </w:tc>
      </w:tr>
      <w:tr w:rsidR="007D7FAD" w14:paraId="0DFE206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32235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3FD9B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Առկա է արտադրական վտանգավոր օբյեկտը արտադրական վտանգավոր օբյեկտների ռեեստրում գրանցման վկայականը: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4FF8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C6856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B9A36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7E3E9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F1067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«4», հոդված 19, մաս 1, կետ ժդ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50015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0F61B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7FAD" w14:paraId="506E330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F05C2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CCF99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Արտադրական վտանգավոր օբյեկտում առկա է տեխնիկական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անվտանգության ամենամյա փորձաքննության եզրակացություն: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4FE8B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5EBC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3A7A8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3BAD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47A2B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«4», հոդված 11, մաս 6,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հոդված 19, մաս 1, կետ ժբ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F7AD8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8854A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 w14:paraId="2EA8C13A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54"/>
        <w:gridCol w:w="2598"/>
      </w:tblGrid>
      <w:tr w:rsidR="007D7FAD" w14:paraId="7F448168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09A98F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Ծանոթագրություն: Նախավերջին սյունակում</w:t>
            </w:r>
          </w:p>
        </w:tc>
        <w:tc>
          <w:tcPr>
            <w:tcW w:w="0" w:type="auto"/>
            <w:vAlign w:val="center"/>
            <w:hideMark/>
          </w:tcPr>
          <w:p w14:paraId="5CBAA478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1-փաստաթղթային ստուգում</w:t>
            </w:r>
          </w:p>
        </w:tc>
      </w:tr>
      <w:tr w:rsidR="007D7FAD" w14:paraId="7EC90365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256F9E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37A530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2-ակնադիտարկում</w:t>
            </w:r>
          </w:p>
        </w:tc>
      </w:tr>
      <w:tr w:rsidR="007D7FAD" w14:paraId="7DC2AA71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942C43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72AF7A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3-լաբորատոր ստուգում</w:t>
            </w:r>
          </w:p>
        </w:tc>
      </w:tr>
    </w:tbl>
    <w:p w14:paraId="3011B586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0"/>
        <w:gridCol w:w="5356"/>
        <w:gridCol w:w="295"/>
        <w:gridCol w:w="295"/>
        <w:gridCol w:w="295"/>
      </w:tblGrid>
      <w:tr w:rsidR="007D7FAD" w14:paraId="07F5F06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DB4EA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249A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«Այո»-այո, առկա է, համապատասխանում է, բավարարում 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1556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71FC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BAFD8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7FAD" w14:paraId="65C1871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44782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80086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«Ոչ»-ոչ, առկա չէ, չի համապատասխանում, չի բավարարում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8D44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52EC0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F63BA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7FAD" w14:paraId="63F5FD7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9A513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EAA90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«Չ/պ»-չի պահանջվում, չի վերաբերում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215E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0071A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D60C4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</w:tr>
    </w:tbl>
    <w:p w14:paraId="6F09BC42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63881DBF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rStyle w:val="Strong"/>
          <w:sz w:val="20"/>
          <w:szCs w:val="20"/>
        </w:rPr>
        <w:t>Տվյալ ստուգաթերթը կազմվել է հետևյալ նորմատիվ փաստաթղթերի հիման վրա.</w:t>
      </w:r>
    </w:p>
    <w:p w14:paraId="77EA0645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«1» - ՀԱԿ «Հրդեհային անվտանգության կանոններ» - հաստատված ՀՀ ՏԿԱԻ նախարարի 2015 թվականի հունիսի 18-ի թիվ 595-Ն հրամանով, հավելված 1</w:t>
      </w:r>
    </w:p>
    <w:p w14:paraId="67FF75C2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«2» - ՀՀՇՆ 40-01.01-2014 «Շենքերի ներքին ջրամատակարարում և ջրահեռացում»</w:t>
      </w:r>
    </w:p>
    <w:p w14:paraId="4E557482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«3» - ՀՀՇՆIV-12.02.01-04 «Ջեռուցում, օդափոխում և օդի լավորակում»:</w:t>
      </w:r>
    </w:p>
    <w:p w14:paraId="3F6381AF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«4» - «Տեխնիկական անվտանգության ապահովման պետական կարգավորման մասին» ՀՀ օրենք ընդունված է 2005 թվականի հոկտեմբերի 24-ին:</w:t>
      </w:r>
    </w:p>
    <w:p w14:paraId="6772E3F9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«5» - ՀՀՇՆ 21-01-2014 «Շենքերի և շինությունների հրդեհային անվտանգություն»</w:t>
      </w:r>
    </w:p>
    <w:p w14:paraId="3DA0B9A6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«6» - ՀՀՇՆ 40.01.02-2020 «Ջրամատակարարում. Արտաքին ցանցեր և կառուցվածքներ»</w:t>
      </w:r>
    </w:p>
    <w:p w14:paraId="59FEE840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«7» - ՀՀՇՆ 22-03-2017 «Արհեստական և բնական լուսավորում»</w:t>
      </w:r>
    </w:p>
    <w:p w14:paraId="2320BC03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«8» - ՀՀ կառավարության 2023թ. ապրիլի 13-ի «Գազաբաշխման համակարգի անվտանգության և շահագործման կանոնները հաստատելու մասին» N 539-Ն որոշում»</w:t>
      </w:r>
    </w:p>
    <w:p w14:paraId="39D993FC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6B0EFCAA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I*- Մարդկանց զանգվածային ներկայությամբ շենքերում, շինություններում և բաց տարածքներում ամանորյա և այլ տիպի միջոցառումների անցկացման ժամանակ`</w:t>
      </w:r>
    </w:p>
    <w:p w14:paraId="390008F5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1) անհրաժեշտ է`</w:t>
      </w:r>
    </w:p>
    <w:p w14:paraId="51647AF1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ա. տոնածառը դնել կայուն հենամասի վրա այնպես, որպեսզի ճյուղերը չքսվեն պատերին և առաստաղին.</w:t>
      </w:r>
    </w:p>
    <w:p w14:paraId="16CD4486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բ. տոնահանդեսի անցկացման վայրում էլեկտրական լուսավորության բացակայության դեպքում միջոցառումներն անցկացնել ցերեկային ժամերին. տոնածառի վրա օգտագործել լամպերի շղթաներ մինչև 12 Վտ հզորությամբ լամպերի հաջորդական միացմամբ` առանց ցածրացնող տրանսֆորմատորի.</w:t>
      </w:r>
    </w:p>
    <w:p w14:paraId="5BCA7B68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գ. լուսավորության անսարքություններ հայտնաբերելու դեպքում (լարերի տաքացում, լամպերի թարթում, կայծարձակում և այլն) սարքը պետք է անմիջապես հոսանքազրկել:</w:t>
      </w:r>
    </w:p>
    <w:p w14:paraId="01ED1D80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2) չի թույլատրվում`</w:t>
      </w:r>
    </w:p>
    <w:p w14:paraId="00916D61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ա) օգտագործել աղեղնավոր լուսարձակներ, լուսավորել մոմերով, վառել հրավառելիք, ստեղծել այլ լուսային հրդեհավտանգ էֆեկտներ, որոնք կարող են հրդեհի պատճառ դառնալ.</w:t>
      </w:r>
    </w:p>
    <w:p w14:paraId="661DC65B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բ) օգտագործել գնդակներ, փուչիկներ, խաղալիքներ և զարդարանքի միջոցներ, որոնք պատրաստված են հրդեհավտանգ նյութերից և պարունակում են հրդեհապայթյունավտանգ գազեր, ինչպես նաև ինքնայրման հակում ունեցող կամ միմյանց հետ շփվելիս այրում կամ պայթյուն առաջացնող նյութերից.</w:t>
      </w:r>
    </w:p>
    <w:p w14:paraId="1F4F70AA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գ) տոնածառը զարդարել հրապաշտպան բաղադրություններով չտոգորված ցելուլոիդե խաղալիքներով, թանզիֆով, բամբակով.</w:t>
      </w:r>
    </w:p>
    <w:p w14:paraId="45A1E7CC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դ) միջոցառումներ անցկացնելու տեղերը մթնեցնելու համար պատուհանները փակել ծածկոցափեղկերով.</w:t>
      </w:r>
    </w:p>
    <w:p w14:paraId="6F46663B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ե) փոքրացնել կարգերի միջև եղած հեռավորությունները, ինչպես նաև անցումներում լրացուցիչ բազկաթոռներ տեղադրել և այլն.</w:t>
      </w:r>
    </w:p>
    <w:p w14:paraId="7ACCDF90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զ) դահլիճում լույսը լրիվ մարել բեմադրությունների և ներկայացումների ժամանակ:</w:t>
      </w:r>
    </w:p>
    <w:p w14:paraId="20A99A84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lastRenderedPageBreak/>
        <w:t>3) բեմում և դահլիճում պետք է կազմակերպվի հրշեջ հերթապահություն` կազմակերպիչների ուժերով:</w:t>
      </w:r>
    </w:p>
    <w:p w14:paraId="25996F87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0A586304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II*- Ոչ պակաս քան տարահանման երկու ելք պետք է ունենան.</w:t>
      </w:r>
    </w:p>
    <w:p w14:paraId="7BDB432D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ա) տաս մարդուց ավելի միաժամանակյա ներկայության համար նախատեսված մանկական նախադպրոցական հիմնարկների, բնակչության սոցիալական պաշտպանության հաստատություններ և համայնքային փոքր տների, հիվանդանոցների, ինտերնատ-դպրոցների և մանկական հիմնարկների ննջարանային մասնաշենքերի սենքերը, </w:t>
      </w:r>
    </w:p>
    <w:p w14:paraId="25AD146E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բ) տասնհինգ մարդուց ավելի միաժամանակյա ներկայության համար նախատեսված նկուղային և ցոկոլային հարկերի սենքերը, 50 մարդուց ավելի միաժամանակյա ներկայության համար նախատեսված սենքերը,</w:t>
      </w:r>
    </w:p>
    <w:p w14:paraId="7BF575D5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գ) առավել բազմաթիվ հերթափոխում հինգ մարդուց ավելի աշխատողների թվաքանակով արդյունաբերական և պահեստային շենքերի, կառուցվածքների Ա և Բ կարգի սենքերը, 25 մարդուց ավելի - Վ կարգի կամ 1000մ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ավելի մակերեսով սենքերը,</w:t>
      </w:r>
    </w:p>
    <w:p w14:paraId="12B65D39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դ) Արդյունաբերական և պահեստային շենքերի, կառուցվածքների բաց հարկաշարերը և հարթակները, նախատեսված սարքավորման սպասարկման համար, Ա և Բ կարգի սենքերի համար - 100մ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ավելի հարկաբաժնի հատակի մակերեսի դեպքում և 400մ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ավելի - այլ կարգի սենքերի համար,</w:t>
      </w:r>
    </w:p>
    <w:p w14:paraId="79231C76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ե) երկու հարկերում (մակարդակներում) տեղադրված բազմաբնակարան բնակելի շենքերի սենքերը (բնակարանները), վերին հարկի տեղադրման 18 մ-ից ավելի բարձրության դեպքում, դրանք պետք է ունենան տարահանման ելքեր յուրաքանչյուր հարկից:</w:t>
      </w:r>
    </w:p>
    <w:p w14:paraId="5307C304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6BD15CDF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III*-Հրդեհաշիջման և հրդեհի ազդանշանման ինքնաշխատ համակարգերով օբյեկտների համալրման չափանիշներն են.</w:t>
      </w:r>
    </w:p>
    <w:p w14:paraId="59E4D0D8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18"/>
        <w:gridCol w:w="1743"/>
        <w:gridCol w:w="1280"/>
      </w:tblGrid>
      <w:tr w:rsidR="007D7FAD" w14:paraId="1A539A3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CD5C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Պահպանվող օբյեկտների տեսակը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2B917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Պահանջվող հակահրդեհային համակարգեր</w:t>
            </w:r>
          </w:p>
        </w:tc>
      </w:tr>
      <w:tr w:rsidR="007D7FAD" w14:paraId="4C94E3C3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041A5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30E9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ՀՀԱԻԿ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4754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ՀՏԱԻՀ և ՀՏԱՓԻՀ</w:t>
            </w:r>
          </w:p>
        </w:tc>
      </w:tr>
      <w:tr w:rsidR="007D7FAD" w14:paraId="511BD0D3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2930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FF9B8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Նորմատիվ ցուցանիշներ</w:t>
            </w:r>
          </w:p>
        </w:tc>
      </w:tr>
      <w:tr w:rsidR="007D7FAD" w14:paraId="31E7AD9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70558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30 մ-ից ավելի բարձրությամբ շենքեր (բացառությամբ բնակելի և հրդեհային անվտանգության «Գ» և «Դ» կարգի արտադրական շենքերից):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4E0E0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3DE66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7D7FAD" w14:paraId="33DEC979" w14:textId="77777777" w:rsidTr="001F4BB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C79F1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Այրելի պոլիմերային ջերմամեկուսիչներով և մետաղական թեթև կառուցատարրերով միահարկ շենքեր</w:t>
            </w:r>
          </w:p>
        </w:tc>
      </w:tr>
      <w:tr w:rsidR="007D7FAD" w14:paraId="38277E6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40645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2.1. Հասարակական նշանակության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13A57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ավելի` համաձայն «Բնակելի շենքեր» ՍՆիՊ 2.08.01-89 շինարարական նորմի 1.34 կետի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7FB11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7D7FAD" w14:paraId="165B8188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8732E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2.2. Վարչակենցաղային նշանակության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79609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3A771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7D7FAD" w14:paraId="396006DD" w14:textId="77777777" w:rsidTr="001F4BB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4EC09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Ցուցասրահների շենքեր.</w:t>
            </w:r>
          </w:p>
        </w:tc>
      </w:tr>
      <w:tr w:rsidR="007D7FAD" w14:paraId="5785788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40DD9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3.1. Միահարկ (բացառությամբ սույն հավելվածի 12-րդ կետում նշվածների)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41533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E176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7D7FAD" w14:paraId="24E452F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DBB45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3.2. Երկու հարկ և ավելի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612F2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18F54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7D7FAD" w14:paraId="180ACB4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EE80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4. Հազվագյուտ հրատարակչությունների, հաշվետվությունների, ձեռագրերի և հատուկ արժևորության այլ փաստաթղթերի (այդ թվում գործույթների բաժինների արխիվների) պահպանման և հանձնման սենքեր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92844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AA7F9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7D7FAD" w14:paraId="1CA7B433" w14:textId="77777777" w:rsidTr="001F4BB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4679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 Պահոցների, գրադարանների ու արխիվների ծառայողական գույքացուցակների և գրացուցակների պահպանման սենքեր, պահպանման ընդհանուր ֆոնդով.</w:t>
            </w:r>
          </w:p>
        </w:tc>
      </w:tr>
      <w:tr w:rsidR="007D7FAD" w14:paraId="491B582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8CAF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5.1. 500 հազար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02A2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EA0CA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7FAD" w14:paraId="40DB011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27450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5.2. 500 հազարից պակաս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50339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9533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7D7FAD" w14:paraId="782D89F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6609F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 Ցուցասրահներ, բացառությամբ` ժամանակավոր ցուցադրման համար օգտագործվող սենքերի (ճեմասրահներ, նախասրահներ և այլն), ինչպես նաև այն սենքերի վրա, որտեղ արժեքների պահպանումը իրականացվում է մետաղական պահարաններում: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5783F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2E37A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7D7FAD" w14:paraId="54897A4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205D3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 Թանգարանային արժեքների պահպանման սենքեր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61B55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3881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7D7FAD" w14:paraId="7CBE990B" w14:textId="77777777" w:rsidTr="001F4BB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5DDE6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 Մշակութատեսարանային նշանակության շենքերում.</w:t>
            </w:r>
          </w:p>
        </w:tc>
      </w:tr>
      <w:tr w:rsidR="007D7FAD" w14:paraId="27DFD98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228B1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8.1. Բեմաճաղերի առկայությամբ բեմահարթակներով 700-ից ավելի նստատեղերով կինոթատրոններ ու ակումբներ: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FE524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683E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700 նստատեղից պակաս</w:t>
            </w:r>
          </w:p>
        </w:tc>
      </w:tr>
      <w:tr w:rsidR="007D7FAD" w14:paraId="69103DC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85C44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8.2. Մինչև 700 նստատեղերով 12.5X7.5, 15X7.5, 18X9 և 21X12 մետր չափերով բեմով ակումբներ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88933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443F7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7D7FAD" w14:paraId="2CD612B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F26F4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8.3. 700-ից ավելի նստատեղերով 18X9, 21X12 և անկախ նստատեղերի քանակից 18X12 և 21X15 մետր չափերով բեմով ակումբներ, ինչպես նաև թատրոններ`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63DC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DAF2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700 նստատեղից պակաս</w:t>
            </w:r>
          </w:p>
        </w:tc>
      </w:tr>
      <w:tr w:rsidR="007D7FAD" w14:paraId="6D1AC74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7AC67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8.4. 800 և ավելի նստատեղերով ֆիլհարմոնիայի համերգային, կինոհամերգային և մարդկանց զանգվածային կուտակման համար նախատեսված դահլիճներ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DA350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F213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 նստատեղից պակաս</w:t>
            </w:r>
          </w:p>
        </w:tc>
      </w:tr>
      <w:tr w:rsidR="007D7FAD" w14:paraId="10D3BD3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C99E8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8.5. Բեմազարդանկարների, շինծու իրերի, բեմիրերի, պահեստներ, փայտամշակման արհեստանոցներ, տնտեսական և գույքային խորդանոցներ, գովազդի </w:t>
            </w:r>
            <w:r>
              <w:rPr>
                <w:rFonts w:eastAsia="Times New Roman"/>
                <w:sz w:val="20"/>
                <w:szCs w:val="20"/>
              </w:rPr>
              <w:lastRenderedPageBreak/>
              <w:t xml:space="preserve">պատրաստման և պահպանման սենքեր, բեմի սպասարկման և արտադրական նշանակության սենքեր, կենդանիների համար սենքեր, հանդիսատեսի դահլիճի վերևի` գմբեթատակի ձեղնահարկային տարածություն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93750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Անկախ մակերեսից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BF6B2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7D7FAD" w14:paraId="75A8EDA8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FBE4E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 Կինոստուդիաների նկարահանման տաղավարներ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47474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44FDE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7D7FAD" w14:paraId="0EB8D810" w14:textId="77777777" w:rsidTr="001F4BB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24974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 Այրելի նյութերի կամ այրելի փաթեթավորմամբ չայրվող նյութերի պահպանման սենքեր, դրանց տեղակայմամբ.</w:t>
            </w:r>
          </w:p>
        </w:tc>
      </w:tr>
      <w:tr w:rsidR="007D7FAD" w14:paraId="1C7E467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58719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10.1 Սպորտային ծածկած կառույցների ցանկացած տարողությամբ տրիբունաների տակ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CA724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500D9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7D7FAD" w14:paraId="2A2710F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247EE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10.2. 800 և ավելի հանդիսատեսներով սպորտային ծածկած կառույցներ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E433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64378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7D7FAD" w14:paraId="79FB7DE5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17F76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10.3. 3000 և ավելի հանդիսատեսներով սպորտային բաց կառույցների տրիբունաների տակ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39528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DD75A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7D7FAD" w14:paraId="62DB585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9B11A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 Այլ վարչական և հասարակական նշանակության սենքեր, այդ թվում կցակառուցված և ներկառուցված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C167A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70C9A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</w:tbl>
    <w:p w14:paraId="13D81C9B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64CE1F7A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IV*- Շենքերը և շինությունները ձեռքի կրակմարիչներով ապահովելու չափանիշները ներկայացված են ստորև ներկայացված աղյուսակներում.</w:t>
      </w:r>
    </w:p>
    <w:p w14:paraId="529A7BDD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9"/>
        <w:gridCol w:w="1556"/>
        <w:gridCol w:w="1437"/>
        <w:gridCol w:w="790"/>
        <w:gridCol w:w="1500"/>
        <w:gridCol w:w="363"/>
        <w:gridCol w:w="476"/>
        <w:gridCol w:w="476"/>
        <w:gridCol w:w="983"/>
        <w:gridCol w:w="443"/>
        <w:gridCol w:w="590"/>
      </w:tblGrid>
      <w:tr w:rsidR="007D7FAD" w14:paraId="41A258A7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EA062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NN</w:t>
            </w:r>
            <w:r>
              <w:rPr>
                <w:rFonts w:eastAsia="Times New Roman"/>
                <w:sz w:val="20"/>
                <w:szCs w:val="20"/>
              </w:rPr>
              <w:br/>
              <w:t>ը/կ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B93EF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Շինության կարգը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72AD7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Պաշտպանվող սահմանային մակերեսը,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34D0E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Հրդեհի դասը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FC87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Փրփրային և ջրային կրակմարիչներ 10 լ տարողությամբ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B11F2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Փոշային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ղությամբ, լ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C1CA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Ֆրեո-</w:t>
            </w:r>
            <w:r>
              <w:rPr>
                <w:rFonts w:eastAsia="Times New Roman"/>
                <w:sz w:val="20"/>
                <w:szCs w:val="20"/>
              </w:rPr>
              <w:br/>
              <w:t>նային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 2(3) լ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4CF53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Ածխա-</w:t>
            </w:r>
            <w:r>
              <w:rPr>
                <w:rFonts w:eastAsia="Times New Roman"/>
                <w:sz w:val="20"/>
                <w:szCs w:val="20"/>
              </w:rPr>
              <w:br/>
              <w:t>թթվային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մարիչներ,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 լ.</w:t>
            </w:r>
          </w:p>
        </w:tc>
      </w:tr>
      <w:tr w:rsidR="007D7FAD" w14:paraId="52AA9409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FCCA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B9956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62A38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E8619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B7288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59237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71468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6BE1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81A53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6E069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BD22B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5(8)</w:t>
            </w:r>
          </w:p>
        </w:tc>
      </w:tr>
      <w:tr w:rsidR="007D7FAD" w14:paraId="082219FF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E03FE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C2899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Ա.Բ.Վ. այրվող գազեր և հեղուկներ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E6334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091C4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4D7CF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7DE3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5B348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BCB4A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2B291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958F6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6D1F9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D7FAD" w14:paraId="6E27D586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C0BA1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6D79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A5762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73108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0BEFF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C143B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0DBDF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FDBF2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595E6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4813B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E84C2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D7FAD" w14:paraId="07E698FD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767B9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2E95E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F87B9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6B67A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319F1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73886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03DD4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0BCF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F20FB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12CA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BCD7A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D7FAD" w14:paraId="78C09234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7E951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EA63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C3586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E1478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421A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CBAD9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8D7DF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E52F7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1961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89BD9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F87FB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D7FAD" w14:paraId="7C02D2F6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5D5E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C6A1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FE141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16B3A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B9080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33ED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F7F40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18182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22819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9390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E65C3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</w:tr>
      <w:tr w:rsidR="007D7FAD" w14:paraId="66EE5CED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42181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60857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AA71A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984CF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8D67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9325A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DA8B2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D9433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B32B4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51CDA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09B9B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</w:tr>
      <w:tr w:rsidR="007D7FAD" w14:paraId="7303128C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FE535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91ECA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EDA84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1B717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9F5F3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D4A36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4D8C7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D17FE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E52F9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20348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4BF7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D7FAD" w14:paraId="0EC3C0A8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B73A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1A68F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FBFA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90FE9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44319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EEDD2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68607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09462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94545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367D1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2B197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</w:tr>
      <w:tr w:rsidR="007D7FAD" w14:paraId="61EDB9E0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2957F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DDFE8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3BF04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3E07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7BB55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A6DE3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69EA4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0D91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5F7B8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CFABA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B83D8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D7FAD" w14:paraId="02F84BBC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0C05B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0582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36639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59B88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C8FF1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ADABB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60B08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1F63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0752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C1237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3C423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D7FAD" w14:paraId="2EF27948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E16AF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8F193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Գ.Դ.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84F22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0CBE4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AC7B7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C81D0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CC33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A90E3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5483B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0CB44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29C48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D7FAD" w14:paraId="565498E6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39434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94897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27716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F639B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CF844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D2311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71F43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7303F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2B1B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952C4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8D809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D7FAD" w14:paraId="0F76F34F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AA246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00E6E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651DF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FD5E3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D6BAA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81886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19642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E4A0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BBA06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C6833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63549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</w:tr>
      <w:tr w:rsidR="007D7FAD" w14:paraId="512039E7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0E39B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89D34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Հասարակական շենքեր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3C34F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88B5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72435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4F2A6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DABA3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E642F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61BF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CAC9A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654CE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</w:tr>
      <w:tr w:rsidR="007D7FAD" w14:paraId="79FD1A73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A2F4E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59BC1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4FB7A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0524A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181A0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6BF6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AA373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D2701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E1BFE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4B5D1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FE4E6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</w:tr>
    </w:tbl>
    <w:p w14:paraId="7DECB83E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7D651622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աղյուսակում ամրագրված` տարբեր դասերի հրդեհների մարման համար փոշային կրակմարիչները պետք է ունենան համապատասխան լիցքավորում, «A» դասի համար ABC(E) փոշի, «D» դասի համար` (D):</w:t>
      </w:r>
    </w:p>
    <w:p w14:paraId="2A0F210C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2173853B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աղյուսակում.</w:t>
      </w:r>
    </w:p>
    <w:p w14:paraId="67CAE0ED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ա) «++» նշանով նշված են օբյեկտների ապահովման համար առաջարկվող կրակմարիչները.</w:t>
      </w:r>
    </w:p>
    <w:p w14:paraId="6D23E2A6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բ) «+» նշանով նշված են կրակմարիչներ, որոնց օգտագործումը թույլատրվում է առաջարկվող կրակմարիչների բացակայման և համապատասխան հիմնավորման դեպքում.</w:t>
      </w:r>
    </w:p>
    <w:p w14:paraId="14BAF27E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գ) «-» նշանով նշված են կրակմարիչներ, որոնցով չի թույլատրվում ապահովել օբյեկտները:</w:t>
      </w:r>
    </w:p>
    <w:p w14:paraId="62F58CBC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rStyle w:val="Strong"/>
          <w:sz w:val="20"/>
          <w:szCs w:val="20"/>
        </w:rPr>
        <w:t>Շենքերը և շինություններն, ըստ մակերեսի, օդափրփրային, համակցված, փոշե և ածխաթթվային կրակմարիչներով ապահովվում են համաձայն հետևյալ աղյուսակի.</w:t>
      </w:r>
    </w:p>
    <w:p w14:paraId="0124F4A6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9"/>
        <w:gridCol w:w="1331"/>
        <w:gridCol w:w="1437"/>
        <w:gridCol w:w="790"/>
        <w:gridCol w:w="1500"/>
        <w:gridCol w:w="1500"/>
        <w:gridCol w:w="983"/>
        <w:gridCol w:w="517"/>
        <w:gridCol w:w="517"/>
      </w:tblGrid>
      <w:tr w:rsidR="007D7FAD" w14:paraId="7E538E7B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A2A73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NN</w:t>
            </w:r>
            <w:r>
              <w:rPr>
                <w:rFonts w:eastAsia="Times New Roman"/>
                <w:sz w:val="20"/>
                <w:szCs w:val="20"/>
              </w:rPr>
              <w:br/>
              <w:t>ը/կ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B1C59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Շինության կարգը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B6BD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Պաշտպանվող սահմանային մակերեսը,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5F398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Հրդեհի դասը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F0728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Օդափրփրային կրակմարիչներ (փրփուր) 100 լ տարողությամբ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2439B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Համակցված կրակմարիչներ (փրփուր, փոշի) 100 լ տարողությամբ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83C05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Փոշե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 100 լ.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353D2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Ածխա-</w:t>
            </w:r>
            <w:r>
              <w:rPr>
                <w:rFonts w:eastAsia="Times New Roman"/>
                <w:sz w:val="20"/>
                <w:szCs w:val="20"/>
              </w:rPr>
              <w:br/>
              <w:t>թթվային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մարիչներ,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 լ.</w:t>
            </w:r>
          </w:p>
        </w:tc>
      </w:tr>
      <w:tr w:rsidR="007D7FAD" w14:paraId="1CF73236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DF3C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EE7B2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B8AE8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CA7D7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FE0D5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143C9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27254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8C12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7D230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</w:tr>
      <w:tr w:rsidR="007D7FAD" w14:paraId="409D4349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E12F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B57CB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Ա,Բ,Վ (այրվող գազեր և հեղուկներ)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3BF18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6C5FA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5BB85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7C3E4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2F54B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91491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6BBB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D7FAD" w14:paraId="7F86A364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B2AA6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0080F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1F4B4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55B49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BB458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26FFB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ECC20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9963B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52E86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D7FAD" w14:paraId="52696004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735E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CB604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F871B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ECD82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EBEA2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40E7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CAFBE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F0029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61391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D7FAD" w14:paraId="508C5DF6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55817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12DA5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0CAC4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F810A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6538B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FDF86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F0453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5CC87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431E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D7FAD" w14:paraId="48FA7C75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D92CA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522DB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6EC5F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6D6E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FF07B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962DE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2C3BA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B91AF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0BB9F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D7FAD" w14:paraId="0E778C5F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56919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DC0B2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 (բացի այրվող գազերից և հեղուկներից)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6339F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73520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DE8B7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57106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DC407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61A03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093EB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D7FAD" w14:paraId="52A26BEF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0BE81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911D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F0B34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D7B0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634D3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58F11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E684E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425D1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BA695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D7FAD" w14:paraId="63AE6725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38671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975F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05C0D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84334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6EBB1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CE247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1BD19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032D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C0667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D7FAD" w14:paraId="6B761A96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7EC74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6FB34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FC44C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A593F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EA439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EEC7B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3195B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07666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B05B1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D7FAD" w14:paraId="0B1FE90D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6CAAE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A3520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4E425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118EA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588B3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9FDA4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4426A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49B14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DF514" w14:textId="77777777" w:rsidR="007D7FAD" w:rsidRDefault="007D7FAD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14:paraId="623C57C9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40009F79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աղյուսակում ամրագրված տարբեր դասերի հրդեհների օջախների հրդեհաշիջման համար փոշու և համակցված կրակմարիչները պետք է ունենան համապատասխան լիցքավորում.</w:t>
      </w:r>
    </w:p>
    <w:p w14:paraId="72F2BC8C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1) «A» դասի համար` ABC(E) փոշի.</w:t>
      </w:r>
    </w:p>
    <w:p w14:paraId="65382DA9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2) «B», «C» և «E» դասի համար` BC(E) կամ ABC(E) փոշի.</w:t>
      </w:r>
    </w:p>
    <w:p w14:paraId="373C8E54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3) «D» դասի համար` D փոշի:</w:t>
      </w:r>
    </w:p>
    <w:p w14:paraId="292CEF81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3BECEA2D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lastRenderedPageBreak/>
        <w:t>Սույն աղյուսակում.</w:t>
      </w:r>
    </w:p>
    <w:p w14:paraId="0AE090AD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ա) «++» նշանով նշված են օբյեկտների ապահովման համար առաջարկվող կրակմարիչները.</w:t>
      </w:r>
    </w:p>
    <w:p w14:paraId="641AE588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բ) «+» նշանով նշված են կրակմարիչներ, որոնց օգտագործումը թույլատրվում է առաջարկվող կրակմարիչների բացակայման և համապատասխան հիմնավորման դեպքում.</w:t>
      </w:r>
    </w:p>
    <w:p w14:paraId="76E48472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գ) «-» նշանով նշված են կրակմարիչներ, որոնցով չի թույլատրվում ապահովել օբյեկտները:</w:t>
      </w:r>
    </w:p>
    <w:p w14:paraId="37B9F4CA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73F0A818" w14:textId="77777777" w:rsidR="007D7FAD" w:rsidRDefault="007D7FAD" w:rsidP="007D7FAD">
      <w:pPr>
        <w:pStyle w:val="vhc"/>
        <w:rPr>
          <w:sz w:val="20"/>
          <w:szCs w:val="20"/>
        </w:rPr>
      </w:pPr>
      <w:r>
        <w:rPr>
          <w:sz w:val="20"/>
          <w:szCs w:val="20"/>
        </w:rPr>
        <w:t>ՈՒՂԵՑՈՒՅՑ</w:t>
      </w:r>
      <w:r>
        <w:rPr>
          <w:sz w:val="20"/>
          <w:szCs w:val="20"/>
        </w:rPr>
        <w:br/>
        <w:t>800 ԵՎ ԱՎԵԼԻ ՆՍՏԱՏԵՂԵՐՈՎ ՄՇԱԿՈՒԹԱՅԻՆ ՀԻՄՆԱՐԿՆԵՐԻ ՍՏՈՒԳԱԹԵՐԹԻ</w:t>
      </w:r>
    </w:p>
    <w:p w14:paraId="726DA231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72F42D34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ստուգաթերթում օգտագործվում են հետևյալ հիմնական հասկացությունները`</w:t>
      </w:r>
    </w:p>
    <w:p w14:paraId="1C772A64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1) այրվող նյութ` ինքնուրույն, կրակի աղբյուրի հեռացումից հետո այրվող նյութ.</w:t>
      </w:r>
    </w:p>
    <w:p w14:paraId="22A1F39B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2) հակահրդեհային պատնեշ` շենքի ծավալը հակահրդեհային հատվածամասերի բաժանող, շենքում և սենքում հրդեհի ու այրման արգասիքների տարածումը խոչընդոտող և համապատասխան հրակայունության սահման ունեցող պատեր, միջնորմներ, ծածկեր, բացվածքների հրակայուն լցվածքներ, նախամուտք անցախուցեր.</w:t>
      </w:r>
    </w:p>
    <w:p w14:paraId="3A0B3A68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3) դյուրանետվող կոնստրուկցիաներ` ապակեպատ պատուհաններ և երդիկներ կամ պողպատե, ալյումինե և ասբոցեմենտի թերթերով և արդյունավետ ջերմապահպանիչներով ծածկեր:</w:t>
      </w:r>
    </w:p>
    <w:p w14:paraId="5BCC6AFE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4) հրդեհաշիջման և հրդեհի ազդանշանման ինքնաշխատ կայանքներ (ՀՀԱԻԿ)` նախատեսված են հրդեհաշիջման և հրդեհի վայրի հայտնաբերման համար.</w:t>
      </w:r>
    </w:p>
    <w:p w14:paraId="4C31697D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5) հրդեհի տագնապի ազդարարման ինքնաշխատ համակարգ (ՀՏԱԻՀ)` նախատեսված է հրդեհի տագնապի ազդարարման համար.</w:t>
      </w:r>
    </w:p>
    <w:p w14:paraId="1EA8CABC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6) հրդեհի տագնապի ազդանշանի փոխանցման ինքնաշխատ համակարգ (ՀՏԱՓԻՀ)` նախատեսված է հրդեհի տագնապի ազդանշանը օբյեկտից կապի որևէ հնարավոր միջոցով լիազոր մարմնին հաղորդման համար.</w:t>
      </w:r>
    </w:p>
    <w:p w14:paraId="4C765E78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7) լիազոր մարմին` Հայաստանի Հանրապետության ներքին գործերի նախարարություն.</w:t>
      </w:r>
    </w:p>
    <w:p w14:paraId="74130911" w14:textId="77777777" w:rsidR="007D7FAD" w:rsidRDefault="007D7FAD" w:rsidP="007D7FAD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8) հրդեհաշիջման սկզբնական միջոցներ` կրակմարիչներ, արկղ ավազով, դույլ, բահ, կեռաձող, կացին:</w:t>
      </w:r>
    </w:p>
    <w:p w14:paraId="194FCB76" w14:textId="77777777" w:rsidR="007D7FAD" w:rsidRDefault="007D7FAD" w:rsidP="007D7FAD">
      <w:pPr>
        <w:pStyle w:val="comm"/>
        <w:rPr>
          <w:sz w:val="15"/>
          <w:szCs w:val="15"/>
        </w:rPr>
      </w:pPr>
      <w:r>
        <w:rPr>
          <w:sz w:val="15"/>
          <w:szCs w:val="15"/>
        </w:rPr>
        <w:t>(24-րդ հավելվածը լրաց. 12.09.19 թիվ 1244-Ն, փոփ. 03.08.23 թիվ 1304-Ն, 18.01.24 թիվ 88-Ն որոշումներ)</w:t>
      </w:r>
    </w:p>
    <w:p w14:paraId="67E4E02D" w14:textId="77777777" w:rsidR="00CC2828" w:rsidRDefault="00CC2828"/>
    <w:sectPr w:rsidR="00CC2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ifont">
    <w:panose1 w:val="00000000000000000000"/>
    <w:charset w:val="00"/>
    <w:family w:val="roman"/>
    <w:notTrueType/>
    <w:pitch w:val="default"/>
  </w:font>
  <w:font w:name="Arm Mon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1736A"/>
    <w:multiLevelType w:val="multilevel"/>
    <w:tmpl w:val="F5EA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586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AD"/>
    <w:rsid w:val="00305BE4"/>
    <w:rsid w:val="006E785E"/>
    <w:rsid w:val="007D7FAD"/>
    <w:rsid w:val="00CC2828"/>
    <w:rsid w:val="00E4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129A2"/>
  <w15:chartTrackingRefBased/>
  <w15:docId w15:val="{D0C76F36-F0C6-4E16-9350-FE164C8F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FAD"/>
    <w:pPr>
      <w:spacing w:before="0"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785E"/>
    <w:pPr>
      <w:pBdr>
        <w:top w:val="single" w:sz="24" w:space="0" w:color="A6B727" w:themeColor="accent1"/>
        <w:left w:val="single" w:sz="24" w:space="0" w:color="A6B727" w:themeColor="accent1"/>
        <w:bottom w:val="single" w:sz="24" w:space="0" w:color="A6B727" w:themeColor="accent1"/>
        <w:right w:val="single" w:sz="24" w:space="0" w:color="A6B727" w:themeColor="accent1"/>
      </w:pBdr>
      <w:shd w:val="clear" w:color="auto" w:fill="A6B727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85E"/>
    <w:pPr>
      <w:pBdr>
        <w:top w:val="single" w:sz="24" w:space="0" w:color="F0F5CF" w:themeColor="accent1" w:themeTint="33"/>
        <w:left w:val="single" w:sz="24" w:space="0" w:color="F0F5CF" w:themeColor="accent1" w:themeTint="33"/>
        <w:bottom w:val="single" w:sz="24" w:space="0" w:color="F0F5CF" w:themeColor="accent1" w:themeTint="33"/>
        <w:right w:val="single" w:sz="24" w:space="0" w:color="F0F5CF" w:themeColor="accent1" w:themeTint="33"/>
      </w:pBdr>
      <w:shd w:val="clear" w:color="auto" w:fill="F0F5CF" w:themeFill="accent1" w:themeFillTint="33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85E"/>
    <w:pPr>
      <w:pBdr>
        <w:top w:val="single" w:sz="6" w:space="2" w:color="A6B727" w:themeColor="accent1"/>
      </w:pBdr>
      <w:spacing w:before="300"/>
      <w:outlineLvl w:val="2"/>
    </w:pPr>
    <w:rPr>
      <w:caps/>
      <w:color w:val="525A1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85E"/>
    <w:pPr>
      <w:pBdr>
        <w:top w:val="dotted" w:sz="6" w:space="2" w:color="A6B727" w:themeColor="accent1"/>
      </w:pBdr>
      <w:spacing w:before="200"/>
      <w:outlineLvl w:val="3"/>
    </w:pPr>
    <w:rPr>
      <w:caps/>
      <w:color w:val="7B881D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85E"/>
    <w:pPr>
      <w:pBdr>
        <w:bottom w:val="single" w:sz="6" w:space="1" w:color="A6B727" w:themeColor="accent1"/>
      </w:pBdr>
      <w:spacing w:before="200"/>
      <w:outlineLvl w:val="4"/>
    </w:pPr>
    <w:rPr>
      <w:caps/>
      <w:color w:val="7B881D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85E"/>
    <w:pPr>
      <w:pBdr>
        <w:bottom w:val="dotted" w:sz="6" w:space="1" w:color="A6B727" w:themeColor="accent1"/>
      </w:pBdr>
      <w:spacing w:before="200"/>
      <w:outlineLvl w:val="5"/>
    </w:pPr>
    <w:rPr>
      <w:caps/>
      <w:color w:val="7B881D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85E"/>
    <w:pPr>
      <w:spacing w:before="200"/>
      <w:outlineLvl w:val="6"/>
    </w:pPr>
    <w:rPr>
      <w:caps/>
      <w:color w:val="7B881D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85E"/>
    <w:pPr>
      <w:spacing w:before="2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85E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85E"/>
    <w:rPr>
      <w:caps/>
      <w:color w:val="FFFFFF" w:themeColor="background1"/>
      <w:spacing w:val="15"/>
      <w:sz w:val="22"/>
      <w:szCs w:val="22"/>
      <w:shd w:val="clear" w:color="auto" w:fill="A6B727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85E"/>
    <w:rPr>
      <w:caps/>
      <w:spacing w:val="15"/>
      <w:shd w:val="clear" w:color="auto" w:fill="F0F5C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85E"/>
    <w:rPr>
      <w:caps/>
      <w:color w:val="525A1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85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85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785E"/>
    <w:rPr>
      <w:b/>
      <w:bCs/>
      <w:color w:val="7B881D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E785E"/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785E"/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85E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E785E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E785E"/>
    <w:rPr>
      <w:b/>
      <w:bCs/>
    </w:rPr>
  </w:style>
  <w:style w:type="character" w:styleId="Emphasis">
    <w:name w:val="Emphasis"/>
    <w:uiPriority w:val="20"/>
    <w:qFormat/>
    <w:rsid w:val="006E785E"/>
    <w:rPr>
      <w:caps/>
      <w:color w:val="525A13" w:themeColor="accent1" w:themeShade="7F"/>
      <w:spacing w:val="5"/>
    </w:rPr>
  </w:style>
  <w:style w:type="paragraph" w:styleId="NoSpacing">
    <w:name w:val="No Spacing"/>
    <w:uiPriority w:val="1"/>
    <w:qFormat/>
    <w:rsid w:val="006E78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78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E785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E785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85E"/>
    <w:pPr>
      <w:spacing w:before="240" w:after="240"/>
      <w:ind w:left="1080" w:right="1080"/>
      <w:jc w:val="center"/>
    </w:pPr>
    <w:rPr>
      <w:color w:val="A6B72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85E"/>
    <w:rPr>
      <w:color w:val="A6B727" w:themeColor="accent1"/>
      <w:sz w:val="24"/>
      <w:szCs w:val="24"/>
    </w:rPr>
  </w:style>
  <w:style w:type="character" w:styleId="SubtleEmphasis">
    <w:name w:val="Subtle Emphasis"/>
    <w:uiPriority w:val="19"/>
    <w:qFormat/>
    <w:rsid w:val="006E785E"/>
    <w:rPr>
      <w:i/>
      <w:iCs/>
      <w:color w:val="525A13" w:themeColor="accent1" w:themeShade="7F"/>
    </w:rPr>
  </w:style>
  <w:style w:type="character" w:styleId="IntenseEmphasis">
    <w:name w:val="Intense Emphasis"/>
    <w:uiPriority w:val="21"/>
    <w:qFormat/>
    <w:rsid w:val="006E785E"/>
    <w:rPr>
      <w:b/>
      <w:bCs/>
      <w:caps/>
      <w:color w:val="525A13" w:themeColor="accent1" w:themeShade="7F"/>
      <w:spacing w:val="10"/>
    </w:rPr>
  </w:style>
  <w:style w:type="character" w:styleId="SubtleReference">
    <w:name w:val="Subtle Reference"/>
    <w:uiPriority w:val="31"/>
    <w:qFormat/>
    <w:rsid w:val="006E785E"/>
    <w:rPr>
      <w:b/>
      <w:bCs/>
      <w:color w:val="A6B727" w:themeColor="accent1"/>
    </w:rPr>
  </w:style>
  <w:style w:type="character" w:styleId="IntenseReference">
    <w:name w:val="Intense Reference"/>
    <w:uiPriority w:val="32"/>
    <w:qFormat/>
    <w:rsid w:val="006E785E"/>
    <w:rPr>
      <w:b/>
      <w:bCs/>
      <w:i/>
      <w:iCs/>
      <w:caps/>
      <w:color w:val="A6B727" w:themeColor="accent1"/>
    </w:rPr>
  </w:style>
  <w:style w:type="character" w:styleId="BookTitle">
    <w:name w:val="Book Title"/>
    <w:uiPriority w:val="33"/>
    <w:qFormat/>
    <w:rsid w:val="006E785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785E"/>
    <w:pPr>
      <w:outlineLvl w:val="9"/>
    </w:pPr>
  </w:style>
  <w:style w:type="paragraph" w:customStyle="1" w:styleId="msonormal0">
    <w:name w:val="msonormal"/>
    <w:basedOn w:val="Normal"/>
    <w:rsid w:val="007D7FAD"/>
    <w:pPr>
      <w:ind w:firstLine="450"/>
      <w:jc w:val="both"/>
    </w:pPr>
  </w:style>
  <w:style w:type="paragraph" w:styleId="NormalWeb">
    <w:name w:val="Normal (Web)"/>
    <w:basedOn w:val="Normal"/>
    <w:uiPriority w:val="99"/>
    <w:semiHidden/>
    <w:unhideWhenUsed/>
    <w:rsid w:val="007D7FAD"/>
    <w:pPr>
      <w:ind w:firstLine="450"/>
      <w:jc w:val="both"/>
    </w:pPr>
  </w:style>
  <w:style w:type="paragraph" w:customStyle="1" w:styleId="bc0h">
    <w:name w:val="bc0h"/>
    <w:basedOn w:val="Normal"/>
    <w:rsid w:val="007D7FAD"/>
    <w:pPr>
      <w:ind w:left="450"/>
      <w:jc w:val="center"/>
    </w:pPr>
    <w:rPr>
      <w:b/>
      <w:bCs/>
    </w:rPr>
  </w:style>
  <w:style w:type="paragraph" w:customStyle="1" w:styleId="bc1m">
    <w:name w:val="bc1m"/>
    <w:basedOn w:val="Normal"/>
    <w:rsid w:val="007D7FAD"/>
    <w:pPr>
      <w:ind w:left="450"/>
      <w:jc w:val="center"/>
    </w:pPr>
    <w:rPr>
      <w:b/>
      <w:bCs/>
    </w:rPr>
  </w:style>
  <w:style w:type="paragraph" w:customStyle="1" w:styleId="bc2b">
    <w:name w:val="bc2b"/>
    <w:basedOn w:val="Normal"/>
    <w:rsid w:val="007D7FAD"/>
    <w:pPr>
      <w:ind w:left="450"/>
      <w:jc w:val="center"/>
    </w:pPr>
    <w:rPr>
      <w:b/>
      <w:bCs/>
    </w:rPr>
  </w:style>
  <w:style w:type="paragraph" w:customStyle="1" w:styleId="bc3e">
    <w:name w:val="bc3e"/>
    <w:basedOn w:val="Normal"/>
    <w:rsid w:val="007D7FAD"/>
    <w:pPr>
      <w:ind w:left="450"/>
      <w:jc w:val="center"/>
    </w:pPr>
    <w:rPr>
      <w:b/>
      <w:bCs/>
    </w:rPr>
  </w:style>
  <w:style w:type="paragraph" w:customStyle="1" w:styleId="bc4gp">
    <w:name w:val="bc4gp"/>
    <w:basedOn w:val="Normal"/>
    <w:rsid w:val="007D7FAD"/>
    <w:pPr>
      <w:ind w:left="450"/>
      <w:jc w:val="center"/>
    </w:pPr>
    <w:rPr>
      <w:b/>
      <w:bCs/>
    </w:rPr>
  </w:style>
  <w:style w:type="paragraph" w:customStyle="1" w:styleId="bc5p">
    <w:name w:val="bc5p"/>
    <w:basedOn w:val="Normal"/>
    <w:rsid w:val="007D7FAD"/>
    <w:pPr>
      <w:ind w:left="450"/>
      <w:jc w:val="center"/>
    </w:pPr>
    <w:rPr>
      <w:b/>
      <w:bCs/>
    </w:rPr>
  </w:style>
  <w:style w:type="paragraph" w:customStyle="1" w:styleId="bc6k">
    <w:name w:val="bc6k"/>
    <w:basedOn w:val="Normal"/>
    <w:rsid w:val="007D7FAD"/>
    <w:pPr>
      <w:ind w:left="450" w:firstLine="450"/>
      <w:jc w:val="center"/>
    </w:pPr>
    <w:rPr>
      <w:b/>
      <w:bCs/>
    </w:rPr>
  </w:style>
  <w:style w:type="paragraph" w:customStyle="1" w:styleId="vhc">
    <w:name w:val="vhc"/>
    <w:basedOn w:val="Normal"/>
    <w:rsid w:val="007D7FAD"/>
    <w:pPr>
      <w:ind w:left="450" w:firstLine="450"/>
      <w:jc w:val="center"/>
    </w:pPr>
    <w:rPr>
      <w:b/>
      <w:bCs/>
    </w:rPr>
  </w:style>
  <w:style w:type="paragraph" w:customStyle="1" w:styleId="bc4gt">
    <w:name w:val="bc4gt"/>
    <w:basedOn w:val="Normal"/>
    <w:rsid w:val="007D7FAD"/>
    <w:pPr>
      <w:ind w:left="450"/>
    </w:pPr>
  </w:style>
  <w:style w:type="paragraph" w:customStyle="1" w:styleId="bc7h">
    <w:name w:val="bc7h"/>
    <w:basedOn w:val="Normal"/>
    <w:rsid w:val="007D7FAD"/>
    <w:pPr>
      <w:ind w:left="450"/>
    </w:pPr>
  </w:style>
  <w:style w:type="paragraph" w:customStyle="1" w:styleId="vht">
    <w:name w:val="vht"/>
    <w:basedOn w:val="Normal"/>
    <w:rsid w:val="007D7FAD"/>
    <w:pPr>
      <w:ind w:left="450"/>
    </w:pPr>
  </w:style>
  <w:style w:type="paragraph" w:customStyle="1" w:styleId="comm">
    <w:name w:val="comm"/>
    <w:basedOn w:val="Normal"/>
    <w:rsid w:val="007D7FAD"/>
    <w:pPr>
      <w:ind w:firstLine="450"/>
      <w:jc w:val="both"/>
    </w:pPr>
    <w:rPr>
      <w:b/>
      <w:bCs/>
      <w:i/>
      <w:iCs/>
      <w:sz w:val="20"/>
      <w:szCs w:val="20"/>
    </w:rPr>
  </w:style>
  <w:style w:type="paragraph" w:customStyle="1" w:styleId="tst">
    <w:name w:val="tst"/>
    <w:basedOn w:val="Normal"/>
    <w:rsid w:val="007D7FAD"/>
    <w:pPr>
      <w:spacing w:before="100" w:beforeAutospacing="1" w:after="100" w:afterAutospacing="1"/>
    </w:pPr>
    <w:rPr>
      <w:rFonts w:ascii="ifont" w:hAnsi="ifont"/>
      <w:sz w:val="14"/>
      <w:szCs w:val="14"/>
    </w:rPr>
  </w:style>
  <w:style w:type="paragraph" w:customStyle="1" w:styleId="empty">
    <w:name w:val="empty"/>
    <w:basedOn w:val="Normal"/>
    <w:rsid w:val="007D7FAD"/>
    <w:pPr>
      <w:shd w:val="clear" w:color="auto" w:fill="FF0000"/>
      <w:spacing w:before="100" w:beforeAutospacing="1" w:after="100" w:afterAutospacing="1"/>
      <w:ind w:left="105"/>
    </w:pPr>
  </w:style>
  <w:style w:type="paragraph" w:customStyle="1" w:styleId="irtekcomm">
    <w:name w:val="irtek_comm"/>
    <w:basedOn w:val="Normal"/>
    <w:rsid w:val="007D7FAD"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/>
      <w:ind w:left="450" w:right="150"/>
    </w:pPr>
    <w:rPr>
      <w:color w:val="0077BB"/>
      <w:sz w:val="20"/>
      <w:szCs w:val="20"/>
    </w:rPr>
  </w:style>
  <w:style w:type="paragraph" w:customStyle="1" w:styleId="tablestyle">
    <w:name w:val="tablestyle"/>
    <w:basedOn w:val="Normal"/>
    <w:rsid w:val="007D7FAD"/>
    <w:rPr>
      <w:rFonts w:ascii="Arm Mono" w:hAnsi="Arm Mono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D7FA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7FAD"/>
    <w:rPr>
      <w:color w:val="800080"/>
      <w:u w:val="single"/>
    </w:rPr>
  </w:style>
  <w:style w:type="paragraph" w:customStyle="1" w:styleId="dateinterval">
    <w:name w:val="dateinterval"/>
    <w:basedOn w:val="Normal"/>
    <w:rsid w:val="007D7FAD"/>
    <w:pPr>
      <w:ind w:firstLine="450"/>
      <w:jc w:val="both"/>
    </w:pPr>
  </w:style>
  <w:style w:type="paragraph" w:customStyle="1" w:styleId="maxindex">
    <w:name w:val="maxindex"/>
    <w:basedOn w:val="Normal"/>
    <w:rsid w:val="007D7FAD"/>
    <w:pPr>
      <w:ind w:firstLine="45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3023</Words>
  <Characters>17237</Characters>
  <Application>Microsoft Office Word</Application>
  <DocSecurity>0</DocSecurity>
  <Lines>143</Lines>
  <Paragraphs>40</Paragraphs>
  <ScaleCrop>false</ScaleCrop>
  <Company/>
  <LinksUpToDate>false</LinksUpToDate>
  <CharactersWithSpaces>20220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</dc:creator>
  <cp:keywords/>
  <dc:description/>
  <cp:lastModifiedBy>Armine</cp:lastModifiedBy>
  <cp:revision>1</cp:revision>
  <dcterms:created xsi:type="dcterms:W3CDTF">2024-06-11T07:03:00Z</dcterms:created>
  <dcterms:modified xsi:type="dcterms:W3CDTF">2024-06-11T07:03:00Z</dcterms:modified>
</cp:coreProperties>
</file>